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A" w:rsidRDefault="009F0D9A" w:rsidP="00164B9D">
      <w:pPr>
        <w:spacing w:after="0" w:line="240" w:lineRule="auto"/>
        <w:jc w:val="both"/>
      </w:pPr>
    </w:p>
    <w:p w:rsidR="00164B9D" w:rsidRDefault="00164B9D" w:rsidP="00164B9D">
      <w:pPr>
        <w:spacing w:after="0" w:line="240" w:lineRule="auto"/>
        <w:jc w:val="both"/>
      </w:pPr>
    </w:p>
    <w:p w:rsidR="00164B9D" w:rsidRDefault="00164B9D" w:rsidP="00164B9D">
      <w:pPr>
        <w:spacing w:after="0" w:line="240" w:lineRule="auto"/>
        <w:jc w:val="both"/>
      </w:pPr>
    </w:p>
    <w:p w:rsidR="00164B9D" w:rsidRDefault="00164B9D" w:rsidP="00164B9D">
      <w:pPr>
        <w:spacing w:after="0" w:line="240" w:lineRule="auto"/>
        <w:jc w:val="both"/>
      </w:pPr>
      <w:r>
        <w:t>Türkiye Sualtı Sporları Federasyonu</w:t>
      </w:r>
    </w:p>
    <w:p w:rsidR="00164B9D" w:rsidRDefault="00164B9D" w:rsidP="00164B9D">
      <w:pPr>
        <w:spacing w:after="0" w:line="240" w:lineRule="auto"/>
        <w:jc w:val="both"/>
      </w:pPr>
      <w:r>
        <w:t>2012 – 2013 – 2014 yılları taslak Bütçesi,</w:t>
      </w:r>
    </w:p>
    <w:p w:rsidR="00B25CD6" w:rsidRDefault="00B25CD6" w:rsidP="00164B9D">
      <w:pPr>
        <w:spacing w:after="0" w:line="240" w:lineRule="auto"/>
        <w:jc w:val="both"/>
      </w:pPr>
    </w:p>
    <w:p w:rsidR="004F50F5" w:rsidRDefault="00164B9D" w:rsidP="00164B9D">
      <w:pPr>
        <w:spacing w:after="0" w:line="240" w:lineRule="auto"/>
        <w:jc w:val="both"/>
      </w:pPr>
      <w:r>
        <w:t>Federasyonumuzun bütçesinde yer alan ana harcama kalemleri Faaliyet giderlerinden oluşmaktadır. Faaliyet giderlerimiz içinde ağırlıklı olarak yurtiçi müsabakalar, yurtdışı müsabakalar, eğitim - kamp giderleri ile sportif amaçlı olarak kulüplere ve sporculara yapılan yardımlar için alınan malzemeler yer almakta</w:t>
      </w:r>
      <w:r w:rsidR="004F50F5">
        <w:t xml:space="preserve"> olup toplam giderlerimize göre dağılımı 2012 yılında %65, 2013 ve 2014 yılında %73 olarak planlanmıştır. Genel Yönetim giderlerimizin toplam giderlerimize göre dağılımı ise 2012 yılında %22, 2013 yılında %15 ve 2014 yılında %17 olarak planlanmıştır.</w:t>
      </w:r>
    </w:p>
    <w:p w:rsidR="004F50F5" w:rsidRDefault="004F50F5" w:rsidP="00164B9D">
      <w:pPr>
        <w:spacing w:after="0" w:line="240" w:lineRule="auto"/>
        <w:jc w:val="both"/>
      </w:pPr>
    </w:p>
    <w:p w:rsidR="00164B9D" w:rsidRDefault="004F50F5" w:rsidP="00164B9D">
      <w:pPr>
        <w:spacing w:after="0" w:line="240" w:lineRule="auto"/>
        <w:jc w:val="both"/>
      </w:pPr>
      <w:r>
        <w:t xml:space="preserve">Federasyonumuzca geçen dönemlerde düzenlenmiş olan müsabakaların sportif rekabeti yaygınlaştırdığı, bunun sonucu olarak da bazı </w:t>
      </w:r>
      <w:proofErr w:type="gramStart"/>
      <w:r>
        <w:t>branşlarımızda</w:t>
      </w:r>
      <w:proofErr w:type="gramEnd"/>
      <w:r>
        <w:t xml:space="preserve"> sporcularımız Türkiye rekorlarını geliştirmiş</w:t>
      </w:r>
      <w:r w:rsidR="00ED3190">
        <w:t>lerd</w:t>
      </w:r>
      <w:r>
        <w:t>ir. Bu gelişime bağlı olarak yurt dışı müsabakalarda da sporcularım</w:t>
      </w:r>
      <w:r w:rsidR="00ED3190">
        <w:t>ı</w:t>
      </w:r>
      <w:r>
        <w:t xml:space="preserve">zın performanslarında artış gözlenmiş ve </w:t>
      </w:r>
      <w:r w:rsidR="008B3A3D">
        <w:t xml:space="preserve">bazı müsabakalar için davet alınmıştır. </w:t>
      </w:r>
      <w:r>
        <w:t xml:space="preserve">Bu nedenle önümüzdeki dönemler için </w:t>
      </w:r>
      <w:r w:rsidR="008B3A3D">
        <w:t xml:space="preserve">daha yoğun yurt içi ve yurt dışı müsabakalar programlanmıştır. Buna bağlı olarak da faaliyet giderlerimizde </w:t>
      </w:r>
      <w:r w:rsidR="00071C8E">
        <w:t>2012 yılın</w:t>
      </w:r>
      <w:r w:rsidR="008B3A3D">
        <w:t xml:space="preserve">a göre yaklaşık %8’lik bir artış olması kaçınılmaz olarak ortaya çıkmaktadır. </w:t>
      </w:r>
    </w:p>
    <w:p w:rsidR="00ED3190" w:rsidRDefault="00ED3190" w:rsidP="00164B9D">
      <w:pPr>
        <w:spacing w:after="0" w:line="240" w:lineRule="auto"/>
        <w:jc w:val="both"/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276"/>
        <w:gridCol w:w="491"/>
        <w:gridCol w:w="1352"/>
        <w:gridCol w:w="491"/>
        <w:gridCol w:w="1493"/>
        <w:gridCol w:w="426"/>
        <w:gridCol w:w="2764"/>
        <w:gridCol w:w="2906"/>
      </w:tblGrid>
      <w:tr w:rsidR="00A40045" w:rsidRPr="00A40045" w:rsidTr="007E7B50">
        <w:trPr>
          <w:gridAfter w:val="2"/>
          <w:wAfter w:w="5670" w:type="dxa"/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740 HESAPLAR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2012 YILI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2013 YILI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2014 YILI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0045" w:rsidRPr="00A40045" w:rsidTr="007E7B50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FAALİYET GİDERLERİ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1.602.000,00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0,65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2.895.000,00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0,73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2.750.000,00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45" w:rsidRPr="00A40045" w:rsidRDefault="00A40045" w:rsidP="00646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0,73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0,73</w:t>
            </w:r>
          </w:p>
        </w:tc>
      </w:tr>
    </w:tbl>
    <w:p w:rsidR="00A40045" w:rsidRDefault="00A40045" w:rsidP="00164B9D">
      <w:pPr>
        <w:spacing w:after="0" w:line="240" w:lineRule="auto"/>
        <w:jc w:val="both"/>
      </w:pPr>
    </w:p>
    <w:p w:rsidR="00ED3190" w:rsidRDefault="00ED3190" w:rsidP="00164B9D">
      <w:pPr>
        <w:spacing w:after="0" w:line="240" w:lineRule="auto"/>
        <w:jc w:val="both"/>
      </w:pPr>
      <w:r>
        <w:t xml:space="preserve">Faaliyet giderlerine bağlı olarak 2013 ve 2014 yıllarında genel Yönetim giderlerimizde harcama tutarları olarak artış olmasına rağmen toplam harcamalara oranında yaklaşık 2013 yılında %7 2014 yılında ise %5 gibi bir azalma olacağı hesaplanmıştır. </w:t>
      </w:r>
    </w:p>
    <w:p w:rsidR="00A40045" w:rsidRDefault="00A40045" w:rsidP="00164B9D">
      <w:pPr>
        <w:spacing w:after="0" w:line="240" w:lineRule="auto"/>
        <w:jc w:val="both"/>
      </w:pPr>
    </w:p>
    <w:tbl>
      <w:tblPr>
        <w:tblW w:w="122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276"/>
        <w:gridCol w:w="491"/>
        <w:gridCol w:w="1352"/>
        <w:gridCol w:w="491"/>
        <w:gridCol w:w="1493"/>
        <w:gridCol w:w="426"/>
        <w:gridCol w:w="1625"/>
        <w:gridCol w:w="1665"/>
      </w:tblGrid>
      <w:tr w:rsidR="00A40045" w:rsidRPr="00A40045" w:rsidTr="007E7B50">
        <w:trPr>
          <w:gridAfter w:val="2"/>
          <w:wAfter w:w="3290" w:type="dxa"/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770 HESAPLAR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2012 YILI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2013 YILI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2014 YILI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045" w:rsidRPr="00A40045" w:rsidRDefault="00A40045" w:rsidP="0064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0045" w:rsidRPr="00A40045" w:rsidTr="007E7B50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YÖNETİM GİDERLERİ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550.000,00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0,22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600.000,00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0,15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650.000,00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45" w:rsidRPr="00A40045" w:rsidRDefault="00A40045" w:rsidP="00646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45" w:rsidRPr="00A40045" w:rsidRDefault="00A40045" w:rsidP="00A4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00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0,17</w:t>
            </w:r>
          </w:p>
        </w:tc>
      </w:tr>
    </w:tbl>
    <w:p w:rsidR="00A40045" w:rsidRDefault="00A40045" w:rsidP="00164B9D">
      <w:pPr>
        <w:spacing w:after="0" w:line="240" w:lineRule="auto"/>
        <w:jc w:val="both"/>
      </w:pPr>
    </w:p>
    <w:p w:rsidR="007519A9" w:rsidRDefault="00487775" w:rsidP="00164B9D">
      <w:pPr>
        <w:spacing w:after="0" w:line="240" w:lineRule="auto"/>
        <w:jc w:val="both"/>
      </w:pPr>
      <w:r>
        <w:t>Diğer giderler arasında yer alan Banka masrafları (%2), dergi iadeleri (%1), satışların maliyeti (%3), KDV ödemeleri (%3-4) ve ürün alımları (%4-1) toplam harcamalardan %10 - %12 arasında pay almaktadır.</w:t>
      </w:r>
      <w:r w:rsidR="007519A9">
        <w:t xml:space="preserve"> Toplam diğer giderlerimiz yıllar itibariyle şöyledir:</w:t>
      </w:r>
    </w:p>
    <w:p w:rsidR="007519A9" w:rsidRDefault="007519A9" w:rsidP="00164B9D">
      <w:pPr>
        <w:spacing w:after="0" w:line="240" w:lineRule="auto"/>
        <w:jc w:val="both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560"/>
        <w:gridCol w:w="1842"/>
        <w:gridCol w:w="1701"/>
      </w:tblGrid>
      <w:tr w:rsidR="007519A9" w:rsidRPr="007519A9" w:rsidTr="007519A9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DİĞER GİDERLER TOPLAMI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327.772,94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475.000,00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390.000,00</w:t>
            </w:r>
          </w:p>
        </w:tc>
      </w:tr>
    </w:tbl>
    <w:p w:rsidR="007519A9" w:rsidRDefault="00487775" w:rsidP="00164B9D">
      <w:pPr>
        <w:spacing w:after="0" w:line="240" w:lineRule="auto"/>
        <w:jc w:val="both"/>
      </w:pPr>
      <w:r>
        <w:t xml:space="preserve"> </w:t>
      </w:r>
    </w:p>
    <w:p w:rsidR="00487775" w:rsidRDefault="007519A9" w:rsidP="00164B9D">
      <w:pPr>
        <w:spacing w:after="0" w:line="240" w:lineRule="auto"/>
        <w:jc w:val="both"/>
      </w:pPr>
      <w:r>
        <w:t>Bütçelenen toplam giderlerimiz</w:t>
      </w:r>
      <w:r w:rsidR="00AB2D0C">
        <w:t xml:space="preserve"> yıllar itibariyle</w:t>
      </w:r>
      <w:r>
        <w:t xml:space="preserve"> şöyledir:</w:t>
      </w:r>
      <w:r w:rsidR="00AB2D0C">
        <w:t xml:space="preserve"> </w:t>
      </w:r>
    </w:p>
    <w:p w:rsidR="007519A9" w:rsidRDefault="007519A9" w:rsidP="00164B9D">
      <w:pPr>
        <w:spacing w:after="0" w:line="240" w:lineRule="auto"/>
        <w:jc w:val="both"/>
      </w:pP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701"/>
        <w:gridCol w:w="1560"/>
        <w:gridCol w:w="2324"/>
      </w:tblGrid>
      <w:tr w:rsidR="007519A9" w:rsidRPr="007519A9" w:rsidTr="007519A9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 O P L A 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2.479.772,94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3.970.000,00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A9" w:rsidRPr="007519A9" w:rsidRDefault="007519A9" w:rsidP="0075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519A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3.790.000,00</w:t>
            </w:r>
          </w:p>
        </w:tc>
      </w:tr>
    </w:tbl>
    <w:p w:rsidR="007519A9" w:rsidRDefault="007519A9" w:rsidP="00164B9D">
      <w:pPr>
        <w:spacing w:after="0" w:line="240" w:lineRule="auto"/>
        <w:jc w:val="both"/>
      </w:pPr>
    </w:p>
    <w:p w:rsidR="00487775" w:rsidRDefault="00487775" w:rsidP="00164B9D">
      <w:pPr>
        <w:spacing w:after="0" w:line="240" w:lineRule="auto"/>
        <w:jc w:val="both"/>
      </w:pPr>
    </w:p>
    <w:p w:rsidR="00ED3190" w:rsidRDefault="00ED3190" w:rsidP="00164B9D">
      <w:pPr>
        <w:spacing w:after="0" w:line="240" w:lineRule="auto"/>
        <w:jc w:val="both"/>
      </w:pPr>
      <w:r>
        <w:t xml:space="preserve">Harcamalardaki artışın karşılanabilmesinin sadece Federasyon ürün bedellerinden sağlanması mümkün değildir. Ancak devlet bütçesinden Federasyonumuza geçmiş dönemlerde yapılan katkının düşük kalması önümüzdeki dönem için </w:t>
      </w:r>
      <w:r w:rsidR="00785A74">
        <w:t>201</w:t>
      </w:r>
      <w:r w:rsidR="00EE1925">
        <w:t>4</w:t>
      </w:r>
      <w:r w:rsidR="00785A74">
        <w:t xml:space="preserve"> yılında bir defaya mahsus olma üzere ürün satış fiyatlarımıza</w:t>
      </w:r>
      <w:r>
        <w:t xml:space="preserve"> </w:t>
      </w:r>
      <w:r w:rsidR="00785A74">
        <w:t>%1</w:t>
      </w:r>
      <w:r w:rsidR="00EE1925">
        <w:t>0</w:t>
      </w:r>
      <w:r w:rsidR="00785A74">
        <w:t xml:space="preserve"> oranında artış planlanması gereğini ortaya çıkartmıştır. A</w:t>
      </w:r>
      <w:r w:rsidR="00761383">
        <w:t>ncak sportif</w:t>
      </w:r>
      <w:r w:rsidR="00785A74">
        <w:t xml:space="preserve"> faaliyetlerimizdeki artış</w:t>
      </w:r>
      <w:r w:rsidR="00761383">
        <w:t>ın</w:t>
      </w:r>
      <w:r w:rsidR="00785A74">
        <w:t xml:space="preserve"> maliyetlerinin karşılanması için </w:t>
      </w:r>
      <w:r w:rsidR="00761383">
        <w:t>Devlet Bütçesinden ve Spor Toto’dan yapılmakta olan yardım tutarlarının da artması gerekmekte olup taslak bütçeye bu yönde gelir öngörülmüştür.</w:t>
      </w:r>
      <w:r w:rsidR="00A40045">
        <w:t xml:space="preserve"> Devlet bütçesinden öngörülen katkının sağlanamaması halinde gelir – gider dengesini sağlayabilmek için faaliyetlerimizde de kaçınılmaz olarak kısıtlamalara gidilecektir.</w:t>
      </w:r>
      <w:r>
        <w:t xml:space="preserve"> </w:t>
      </w:r>
    </w:p>
    <w:p w:rsidR="00EA7635" w:rsidRDefault="00EA7635" w:rsidP="00164B9D">
      <w:pPr>
        <w:spacing w:after="0" w:line="240" w:lineRule="auto"/>
        <w:jc w:val="both"/>
      </w:pPr>
    </w:p>
    <w:p w:rsidR="00A955AD" w:rsidRDefault="00A955AD" w:rsidP="00164B9D">
      <w:pPr>
        <w:spacing w:after="0" w:line="240" w:lineRule="auto"/>
        <w:jc w:val="both"/>
      </w:pPr>
      <w:r>
        <w:lastRenderedPageBreak/>
        <w:t xml:space="preserve">Federasyonumuzun bütçelenen toplam gelirlerinin yıllar itibariyle dağılımı </w:t>
      </w:r>
      <w:proofErr w:type="gramStart"/>
      <w:r>
        <w:t>şöyledir :</w:t>
      </w:r>
      <w:proofErr w:type="gramEnd"/>
    </w:p>
    <w:p w:rsidR="00A955AD" w:rsidRDefault="00A955AD" w:rsidP="00164B9D">
      <w:pPr>
        <w:spacing w:after="0" w:line="240" w:lineRule="auto"/>
        <w:jc w:val="both"/>
      </w:pPr>
    </w:p>
    <w:tbl>
      <w:tblPr>
        <w:tblW w:w="7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276"/>
        <w:gridCol w:w="601"/>
        <w:gridCol w:w="1191"/>
        <w:gridCol w:w="601"/>
        <w:gridCol w:w="1191"/>
        <w:gridCol w:w="601"/>
      </w:tblGrid>
      <w:tr w:rsidR="00C95636" w:rsidRPr="00C95636" w:rsidTr="00C95636">
        <w:trPr>
          <w:trHeight w:val="2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95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95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5636" w:rsidRPr="00C95636" w:rsidTr="00C95636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FEDERASYON GELİRLERİ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2.635.349,35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69%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2.664.500,00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61%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2.949.700,00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77%</w:t>
            </w:r>
          </w:p>
        </w:tc>
      </w:tr>
      <w:tr w:rsidR="00C95636" w:rsidRPr="00C95636" w:rsidTr="00C95636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GELİR FAZLASI DEVRİ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894.308,42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23%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1.335.797,91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31%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380.297,91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10%</w:t>
            </w:r>
          </w:p>
        </w:tc>
      </w:tr>
      <w:tr w:rsidR="00C95636" w:rsidRPr="00C95636" w:rsidTr="00C95636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SGM + SPOR TOTO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185.000,00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5%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225.000,00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5%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350.000,00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9%</w:t>
            </w:r>
          </w:p>
        </w:tc>
      </w:tr>
      <w:tr w:rsidR="00C95636" w:rsidRPr="00C95636" w:rsidTr="00C95636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DİĞER GELİRLER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100.913,08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125.000,00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140.000,00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4%</w:t>
            </w:r>
          </w:p>
        </w:tc>
      </w:tr>
      <w:tr w:rsidR="00C95636" w:rsidRPr="00C95636" w:rsidTr="00C95636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3.815.570,85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73772C" w:rsidP="00B85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3.970.0</w:t>
            </w:r>
            <w:r w:rsidR="00B85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636" w:rsidRPr="00C95636" w:rsidRDefault="0073772C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3.790.000,00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636" w:rsidRPr="00C95636" w:rsidRDefault="00C95636" w:rsidP="00C95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95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100%</w:t>
            </w:r>
          </w:p>
        </w:tc>
      </w:tr>
    </w:tbl>
    <w:p w:rsidR="007E7B50" w:rsidRDefault="007E7B50" w:rsidP="00164B9D">
      <w:pPr>
        <w:spacing w:after="0" w:line="240" w:lineRule="auto"/>
        <w:jc w:val="both"/>
      </w:pPr>
    </w:p>
    <w:p w:rsidR="00A955AD" w:rsidRDefault="00A955AD" w:rsidP="00164B9D">
      <w:pPr>
        <w:spacing w:after="0" w:line="240" w:lineRule="auto"/>
        <w:jc w:val="both"/>
      </w:pPr>
    </w:p>
    <w:p w:rsidR="00A955AD" w:rsidRDefault="00C95636" w:rsidP="00164B9D">
      <w:pPr>
        <w:spacing w:after="0" w:line="240" w:lineRule="auto"/>
        <w:jc w:val="both"/>
      </w:pPr>
      <w:r>
        <w:t>Tablodan görüleceği üzere Federasyonumuz gelirlerinin büyük bir kısmı</w:t>
      </w:r>
      <w:r w:rsidR="009E3359">
        <w:t>nı</w:t>
      </w:r>
      <w:r>
        <w:t xml:space="preserve"> kendi faaliyetlerinden elde etmekte ve giderlerini karşılamaktadır.</w:t>
      </w:r>
    </w:p>
    <w:p w:rsidR="007A77A5" w:rsidRDefault="007A77A5" w:rsidP="00164B9D">
      <w:pPr>
        <w:spacing w:after="0" w:line="240" w:lineRule="auto"/>
        <w:jc w:val="both"/>
      </w:pPr>
    </w:p>
    <w:p w:rsidR="007A77A5" w:rsidRDefault="007A77A5" w:rsidP="00164B9D">
      <w:pPr>
        <w:spacing w:after="0" w:line="240" w:lineRule="auto"/>
        <w:jc w:val="both"/>
      </w:pPr>
      <w:r>
        <w:t>Genel kurul’a saygı ile sunulur.</w:t>
      </w:r>
    </w:p>
    <w:p w:rsidR="007A77A5" w:rsidRDefault="007A77A5" w:rsidP="00164B9D">
      <w:pPr>
        <w:spacing w:after="0" w:line="240" w:lineRule="auto"/>
        <w:jc w:val="both"/>
      </w:pPr>
    </w:p>
    <w:p w:rsidR="007A77A5" w:rsidRDefault="007A77A5" w:rsidP="00164B9D">
      <w:pPr>
        <w:spacing w:after="0" w:line="240" w:lineRule="auto"/>
        <w:jc w:val="both"/>
      </w:pPr>
    </w:p>
    <w:sectPr w:rsidR="007A77A5" w:rsidSect="00ED319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B9D"/>
    <w:rsid w:val="00071C8E"/>
    <w:rsid w:val="000B08A2"/>
    <w:rsid w:val="00164B9D"/>
    <w:rsid w:val="001F36E9"/>
    <w:rsid w:val="002235F1"/>
    <w:rsid w:val="002F6FB6"/>
    <w:rsid w:val="00354028"/>
    <w:rsid w:val="00416DD9"/>
    <w:rsid w:val="00487775"/>
    <w:rsid w:val="004F50F5"/>
    <w:rsid w:val="0073772C"/>
    <w:rsid w:val="007519A9"/>
    <w:rsid w:val="00761383"/>
    <w:rsid w:val="00785A74"/>
    <w:rsid w:val="007A77A5"/>
    <w:rsid w:val="007E7B50"/>
    <w:rsid w:val="008B3A3D"/>
    <w:rsid w:val="009E3359"/>
    <w:rsid w:val="009F0D9A"/>
    <w:rsid w:val="00A40045"/>
    <w:rsid w:val="00A955AD"/>
    <w:rsid w:val="00AB2D0C"/>
    <w:rsid w:val="00B25CD6"/>
    <w:rsid w:val="00B36EE5"/>
    <w:rsid w:val="00B854CB"/>
    <w:rsid w:val="00C42BEB"/>
    <w:rsid w:val="00C95636"/>
    <w:rsid w:val="00EA7635"/>
    <w:rsid w:val="00ED3190"/>
    <w:rsid w:val="00EE1925"/>
    <w:rsid w:val="00EF55C7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04.10.2012</Yay_x0131_nlama_x0020_Tarihi>
    <DokumanYili xmlns="1c03c9f6-c953-406c-a909-d24860a716bb">2012</DokumanYili>
    <Federasyon xmlns="1c03c9f6-c953-406c-a909-d24860a716bb">51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CD397C31-5FDE-4661-8528-8461B9205A47}"/>
</file>

<file path=customXml/itemProps2.xml><?xml version="1.0" encoding="utf-8"?>
<ds:datastoreItem xmlns:ds="http://schemas.openxmlformats.org/officeDocument/2006/customXml" ds:itemID="{22FB4D36-D269-48E8-AF81-AE53F9903565}"/>
</file>

<file path=customXml/itemProps3.xml><?xml version="1.0" encoding="utf-8"?>
<ds:datastoreItem xmlns:ds="http://schemas.openxmlformats.org/officeDocument/2006/customXml" ds:itemID="{34273110-BF4D-4C80-9A6F-E861CD4F8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2012-2013 - 2014 TASLAK BÜTÇE SUNUMU</dc:title>
  <dc:creator>Exper</dc:creator>
  <cp:lastModifiedBy>sualtı2</cp:lastModifiedBy>
  <cp:revision>2</cp:revision>
  <cp:lastPrinted>2012-10-04T12:48:00Z</cp:lastPrinted>
  <dcterms:created xsi:type="dcterms:W3CDTF">2012-10-04T12:49:00Z</dcterms:created>
  <dcterms:modified xsi:type="dcterms:W3CDTF">2012-10-04T12:49:00Z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